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48" w:rsidRDefault="004B0A8D">
      <w:pPr>
        <w:rPr>
          <w:rFonts w:asciiTheme="minorEastAsia" w:eastAsiaTheme="minorEastAsia" w:hAnsiTheme="minorEastAsia" w:cs="黑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黑体" w:hint="eastAsia"/>
          <w:color w:val="000000" w:themeColor="text1"/>
          <w:sz w:val="24"/>
          <w:szCs w:val="24"/>
        </w:rPr>
        <w:t>附件</w:t>
      </w:r>
      <w:r>
        <w:rPr>
          <w:rFonts w:asciiTheme="minorEastAsia" w:eastAsiaTheme="minorEastAsia" w:hAnsiTheme="minorEastAsia" w:cs="黑体" w:hint="eastAsia"/>
          <w:color w:val="000000" w:themeColor="text1"/>
          <w:sz w:val="24"/>
          <w:szCs w:val="24"/>
        </w:rPr>
        <w:t>1</w:t>
      </w:r>
      <w:r>
        <w:rPr>
          <w:rFonts w:asciiTheme="minorEastAsia" w:eastAsiaTheme="minorEastAsia" w:hAnsiTheme="minorEastAsia" w:cs="黑体" w:hint="eastAsia"/>
          <w:color w:val="000000" w:themeColor="text1"/>
          <w:sz w:val="24"/>
          <w:szCs w:val="24"/>
        </w:rPr>
        <w:t>：</w:t>
      </w:r>
    </w:p>
    <w:p w:rsidR="00F36948" w:rsidRDefault="004B0A8D">
      <w:pPr>
        <w:ind w:firstLineChars="100" w:firstLine="320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齐齐哈尔医学院</w:t>
      </w:r>
      <w:r>
        <w:rPr>
          <w:rFonts w:ascii="黑体" w:eastAsia="黑体" w:hAnsi="黑体" w:cs="黑体"/>
          <w:color w:val="000000" w:themeColor="text1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eastAsia="黑体" w:hAnsi="黑体" w:cs="黑体"/>
          <w:color w:val="000000" w:themeColor="text1"/>
          <w:sz w:val="32"/>
          <w:szCs w:val="32"/>
        </w:rPr>
        <w:instrText>ADDIN CNKISM.UserStyle</w:instrText>
      </w:r>
      <w:r>
        <w:rPr>
          <w:rFonts w:ascii="黑体" w:eastAsia="黑体" w:hAnsi="黑体" w:cs="黑体"/>
          <w:color w:val="000000" w:themeColor="text1"/>
          <w:sz w:val="32"/>
          <w:szCs w:val="32"/>
        </w:rPr>
      </w:r>
      <w:r>
        <w:rPr>
          <w:rFonts w:ascii="黑体" w:eastAsia="黑体" w:hAnsi="黑体" w:cs="黑体"/>
          <w:color w:val="000000" w:themeColor="text1"/>
          <w:sz w:val="32"/>
          <w:szCs w:val="32"/>
        </w:rPr>
        <w:fldChar w:fldCharType="end"/>
      </w: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第二届智慧课堂创新教学竞赛评价指标</w:t>
      </w:r>
    </w:p>
    <w:p w:rsidR="00F36948" w:rsidRDefault="00F36948">
      <w:pPr>
        <w:adjustRightInd w:val="0"/>
        <w:snapToGrid w:val="0"/>
        <w:spacing w:line="360" w:lineRule="auto"/>
        <w:ind w:firstLineChars="100" w:firstLine="150"/>
        <w:rPr>
          <w:rFonts w:ascii="黑体" w:eastAsia="黑体" w:hAnsi="黑体" w:cs="黑体"/>
          <w:color w:val="000000" w:themeColor="text1"/>
          <w:sz w:val="15"/>
          <w:szCs w:val="15"/>
        </w:rPr>
      </w:pPr>
    </w:p>
    <w:tbl>
      <w:tblPr>
        <w:tblStyle w:val="af0"/>
        <w:tblW w:w="9178" w:type="dxa"/>
        <w:jc w:val="center"/>
        <w:tblLayout w:type="fixed"/>
        <w:tblLook w:val="04A0" w:firstRow="1" w:lastRow="0" w:firstColumn="1" w:lastColumn="0" w:noHBand="0" w:noVBand="1"/>
      </w:tblPr>
      <w:tblGrid>
        <w:gridCol w:w="859"/>
        <w:gridCol w:w="1448"/>
        <w:gridCol w:w="5965"/>
        <w:gridCol w:w="906"/>
      </w:tblGrid>
      <w:tr w:rsidR="00F36948">
        <w:trPr>
          <w:trHeight w:val="1023"/>
          <w:jc w:val="center"/>
        </w:trPr>
        <w:tc>
          <w:tcPr>
            <w:tcW w:w="859" w:type="dxa"/>
            <w:vAlign w:val="center"/>
          </w:tcPr>
          <w:p w:rsidR="00F36948" w:rsidRDefault="004B0A8D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评价维度</w:t>
            </w:r>
          </w:p>
        </w:tc>
        <w:tc>
          <w:tcPr>
            <w:tcW w:w="1448" w:type="dxa"/>
            <w:vAlign w:val="center"/>
          </w:tcPr>
          <w:p w:rsidR="00F36948" w:rsidRDefault="004B0A8D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评价要点</w:t>
            </w:r>
          </w:p>
        </w:tc>
        <w:tc>
          <w:tcPr>
            <w:tcW w:w="5965" w:type="dxa"/>
            <w:vAlign w:val="center"/>
          </w:tcPr>
          <w:p w:rsidR="00F36948" w:rsidRDefault="004B0A8D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评价内容描述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adjustRightInd w:val="0"/>
              <w:snapToGri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分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8"/>
                <w:szCs w:val="28"/>
              </w:rPr>
              <w:t>值</w:t>
            </w:r>
          </w:p>
        </w:tc>
      </w:tr>
      <w:tr w:rsidR="00F36948">
        <w:trPr>
          <w:trHeight w:val="830"/>
          <w:jc w:val="center"/>
        </w:trPr>
        <w:tc>
          <w:tcPr>
            <w:tcW w:w="859" w:type="dxa"/>
            <w:vMerge w:val="restart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师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的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</w:t>
            </w:r>
          </w:p>
        </w:tc>
        <w:tc>
          <w:tcPr>
            <w:tcW w:w="1448" w:type="dxa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教学理念</w:t>
            </w:r>
          </w:p>
        </w:tc>
        <w:tc>
          <w:tcPr>
            <w:tcW w:w="5965" w:type="dxa"/>
            <w:vAlign w:val="center"/>
          </w:tcPr>
          <w:p w:rsidR="00F36948" w:rsidRDefault="004B0A8D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落实立德树人根本任务，专业知识与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思政教育</w:t>
            </w:r>
            <w:proofErr w:type="gramEnd"/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紧密融合，有效发挥课程育人功能。课堂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具有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平等、民主与和谐的文化特质。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788"/>
          <w:jc w:val="center"/>
        </w:trPr>
        <w:tc>
          <w:tcPr>
            <w:tcW w:w="859" w:type="dxa"/>
            <w:vMerge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教学设计</w:t>
            </w:r>
          </w:p>
        </w:tc>
        <w:tc>
          <w:tcPr>
            <w:tcW w:w="5965" w:type="dxa"/>
            <w:vAlign w:val="center"/>
          </w:tcPr>
          <w:p w:rsidR="00F36948" w:rsidRDefault="004B0A8D">
            <w:pPr>
              <w:pStyle w:val="a4"/>
              <w:numPr>
                <w:ilvl w:val="0"/>
                <w:numId w:val="1"/>
              </w:numPr>
              <w:jc w:val="both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以学生为中心，各教学环节中体现教学智慧、教学创新与教学改革意识，充分发挥信息技术对教与学的帮助，实现了良好的师生、生生交流与探索。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786"/>
          <w:jc w:val="center"/>
        </w:trPr>
        <w:tc>
          <w:tcPr>
            <w:tcW w:w="859" w:type="dxa"/>
            <w:vMerge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教学内容</w:t>
            </w:r>
          </w:p>
        </w:tc>
        <w:tc>
          <w:tcPr>
            <w:tcW w:w="5965" w:type="dxa"/>
            <w:vAlign w:val="center"/>
          </w:tcPr>
          <w:p w:rsidR="00F36948" w:rsidRDefault="004B0A8D">
            <w:pPr>
              <w:pStyle w:val="a4"/>
              <w:numPr>
                <w:ilvl w:val="0"/>
                <w:numId w:val="1"/>
              </w:numPr>
              <w:jc w:val="both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能够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反映学科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领域发展新成果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和新趋势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；注重学科特征、逻辑性与思辨性，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有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一定的深度、挑战度。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712"/>
          <w:jc w:val="center"/>
        </w:trPr>
        <w:tc>
          <w:tcPr>
            <w:tcW w:w="859" w:type="dxa"/>
            <w:vMerge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教学资源</w:t>
            </w:r>
          </w:p>
        </w:tc>
        <w:tc>
          <w:tcPr>
            <w:tcW w:w="5965" w:type="dxa"/>
            <w:vAlign w:val="center"/>
          </w:tcPr>
          <w:p w:rsidR="00F36948" w:rsidRDefault="004B0A8D">
            <w:pPr>
              <w:pStyle w:val="a4"/>
              <w:numPr>
                <w:ilvl w:val="0"/>
                <w:numId w:val="1"/>
              </w:numPr>
              <w:jc w:val="both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遴选优质教学资源、适用性好，可以作为课堂教学内容的有益补充。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694"/>
          <w:jc w:val="center"/>
        </w:trPr>
        <w:tc>
          <w:tcPr>
            <w:tcW w:w="859" w:type="dxa"/>
            <w:vMerge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教学过程</w:t>
            </w:r>
          </w:p>
        </w:tc>
        <w:tc>
          <w:tcPr>
            <w:tcW w:w="5965" w:type="dxa"/>
            <w:vAlign w:val="center"/>
          </w:tcPr>
          <w:p w:rsidR="00F36948" w:rsidRDefault="004B0A8D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课前：配套学习资源质量高，学习目标明确，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以递进式活动引导学生进行自主学习。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1023"/>
          <w:jc w:val="center"/>
        </w:trPr>
        <w:tc>
          <w:tcPr>
            <w:tcW w:w="859" w:type="dxa"/>
            <w:vMerge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8" w:type="dxa"/>
            <w:vMerge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965" w:type="dxa"/>
            <w:vAlign w:val="center"/>
          </w:tcPr>
          <w:p w:rsidR="00F36948" w:rsidRDefault="004B0A8D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课中：根据课程实际和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学情分析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，有效利用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现代化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教学工具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进行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教学策略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设计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，教学方法选择恰当有效，教学活动多元互动，体现过程性、综合性评价。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1023"/>
          <w:jc w:val="center"/>
        </w:trPr>
        <w:tc>
          <w:tcPr>
            <w:tcW w:w="859" w:type="dxa"/>
            <w:vMerge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8" w:type="dxa"/>
            <w:vMerge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965" w:type="dxa"/>
            <w:vAlign w:val="center"/>
          </w:tcPr>
          <w:p w:rsidR="00F36948" w:rsidRDefault="004B0A8D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  <w:t>课后：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课中与课后教学活动衔接密切，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  <w:t>布置作业、测试、研讨等训练学生问题解决能力与审辩式思维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  <w:t>能力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仿宋" w:eastAsia="仿宋" w:hAnsi="仿宋"/>
                <w:bCs/>
                <w:color w:val="000000" w:themeColor="text1"/>
                <w:sz w:val="24"/>
                <w:szCs w:val="24"/>
              </w:rPr>
              <w:t>引发学生深度思考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794"/>
          <w:jc w:val="center"/>
        </w:trPr>
        <w:tc>
          <w:tcPr>
            <w:tcW w:w="859" w:type="dxa"/>
            <w:vMerge w:val="restart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学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生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的</w:t>
            </w:r>
          </w:p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学</w:t>
            </w:r>
          </w:p>
        </w:tc>
        <w:tc>
          <w:tcPr>
            <w:tcW w:w="1448" w:type="dxa"/>
            <w:vMerge w:val="restart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学习过程</w:t>
            </w:r>
          </w:p>
        </w:tc>
        <w:tc>
          <w:tcPr>
            <w:tcW w:w="5965" w:type="dxa"/>
            <w:vAlign w:val="center"/>
          </w:tcPr>
          <w:p w:rsidR="00F36948" w:rsidRDefault="004B0A8D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学生学习路径清晰，符合学生学习特点，个性化学习与合作学习相得益彰。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706"/>
          <w:jc w:val="center"/>
        </w:trPr>
        <w:tc>
          <w:tcPr>
            <w:tcW w:w="859" w:type="dxa"/>
            <w:vMerge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8" w:type="dxa"/>
            <w:vMerge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965" w:type="dxa"/>
            <w:vAlign w:val="center"/>
          </w:tcPr>
          <w:p w:rsidR="00F36948" w:rsidRDefault="004B0A8D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激发了学生学习潜能，学生积极参与课程活动，思维活跃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，互动充分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，学生反馈好。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1023"/>
          <w:jc w:val="center"/>
        </w:trPr>
        <w:tc>
          <w:tcPr>
            <w:tcW w:w="859" w:type="dxa"/>
            <w:vMerge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学习效果</w:t>
            </w:r>
          </w:p>
        </w:tc>
        <w:tc>
          <w:tcPr>
            <w:tcW w:w="5965" w:type="dxa"/>
            <w:vAlign w:val="center"/>
          </w:tcPr>
          <w:p w:rsidR="00F36948" w:rsidRDefault="004B0A8D">
            <w:pPr>
              <w:numPr>
                <w:ilvl w:val="0"/>
                <w:numId w:val="1"/>
              </w:numP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学生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  <w:szCs w:val="24"/>
              </w:rPr>
              <w:t>理解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所学课程的知识结构与思想体系，掌握所学知识的运用情境、策略和方法。学生</w:t>
            </w:r>
            <w:r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  <w:t>能够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体会课程学习的挑战与乐趣，感悟课程的意义与价值。</w:t>
            </w: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  <w:tr w:rsidR="00F36948">
        <w:trPr>
          <w:trHeight w:val="600"/>
          <w:jc w:val="center"/>
        </w:trPr>
        <w:tc>
          <w:tcPr>
            <w:tcW w:w="859" w:type="dxa"/>
            <w:vAlign w:val="center"/>
          </w:tcPr>
          <w:p w:rsidR="00F36948" w:rsidRDefault="004B0A8D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 w:themeColor="text1"/>
                <w:sz w:val="24"/>
                <w:szCs w:val="24"/>
              </w:rPr>
              <w:t>总分</w:t>
            </w:r>
          </w:p>
        </w:tc>
        <w:tc>
          <w:tcPr>
            <w:tcW w:w="1448" w:type="dxa"/>
            <w:vAlign w:val="center"/>
          </w:tcPr>
          <w:p w:rsidR="00F36948" w:rsidRDefault="00F36948">
            <w:pPr>
              <w:jc w:val="center"/>
              <w:rPr>
                <w:rFonts w:asciiTheme="minorEastAsia" w:eastAsiaTheme="minorEastAsia" w:hAnsiTheme="minorEastAsia" w:cs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5965" w:type="dxa"/>
            <w:vAlign w:val="center"/>
          </w:tcPr>
          <w:p w:rsidR="00F36948" w:rsidRDefault="00F36948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F36948" w:rsidRDefault="004B0A8D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100</w:t>
            </w: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分</w:t>
            </w:r>
          </w:p>
        </w:tc>
      </w:tr>
    </w:tbl>
    <w:p w:rsidR="00F36948" w:rsidRDefault="00F36948">
      <w:pPr>
        <w:rPr>
          <w:rFonts w:ascii="仿宋" w:eastAsia="仿宋" w:hAnsi="仿宋" w:cs="仿宋"/>
          <w:color w:val="000000" w:themeColor="text1"/>
          <w:sz w:val="28"/>
          <w:szCs w:val="28"/>
        </w:rPr>
      </w:pPr>
    </w:p>
    <w:sectPr w:rsidR="00F36948">
      <w:footnotePr>
        <w:numFmt w:val="decimalEnclosedCircleChinese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FEDF9B3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071737"/>
    <w:multiLevelType w:val="singleLevel"/>
    <w:tmpl w:val="FF07173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沈群">
    <w15:presenceInfo w15:providerId="WPS Office" w15:userId="6131005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1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numFmt w:val="decimalEnclosedCircleChines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395"/>
    <w:rsid w:val="00030373"/>
    <w:rsid w:val="00063AE5"/>
    <w:rsid w:val="0007698B"/>
    <w:rsid w:val="000B2DFC"/>
    <w:rsid w:val="000C0395"/>
    <w:rsid w:val="00111F4A"/>
    <w:rsid w:val="00145EE9"/>
    <w:rsid w:val="00172F38"/>
    <w:rsid w:val="001B5A35"/>
    <w:rsid w:val="001B7A88"/>
    <w:rsid w:val="001C7C14"/>
    <w:rsid w:val="001D1E49"/>
    <w:rsid w:val="001F4CD8"/>
    <w:rsid w:val="0020219D"/>
    <w:rsid w:val="00267D43"/>
    <w:rsid w:val="00286869"/>
    <w:rsid w:val="002A4D53"/>
    <w:rsid w:val="002B5FD0"/>
    <w:rsid w:val="002D4789"/>
    <w:rsid w:val="002D622E"/>
    <w:rsid w:val="00380F3C"/>
    <w:rsid w:val="003F3CD9"/>
    <w:rsid w:val="00437A50"/>
    <w:rsid w:val="0044131C"/>
    <w:rsid w:val="00452394"/>
    <w:rsid w:val="00464D9C"/>
    <w:rsid w:val="004A77A3"/>
    <w:rsid w:val="004B0A8D"/>
    <w:rsid w:val="004F7D7B"/>
    <w:rsid w:val="00511F3F"/>
    <w:rsid w:val="0054622C"/>
    <w:rsid w:val="00561E12"/>
    <w:rsid w:val="005A728F"/>
    <w:rsid w:val="00605F4E"/>
    <w:rsid w:val="006166AF"/>
    <w:rsid w:val="00677AE6"/>
    <w:rsid w:val="00685A02"/>
    <w:rsid w:val="006B2D7F"/>
    <w:rsid w:val="006B357A"/>
    <w:rsid w:val="006E08D6"/>
    <w:rsid w:val="006E11D8"/>
    <w:rsid w:val="006E4B9C"/>
    <w:rsid w:val="00706400"/>
    <w:rsid w:val="00737B46"/>
    <w:rsid w:val="007617AE"/>
    <w:rsid w:val="007951B8"/>
    <w:rsid w:val="007E3B71"/>
    <w:rsid w:val="00817D6A"/>
    <w:rsid w:val="008379E4"/>
    <w:rsid w:val="00843E7D"/>
    <w:rsid w:val="008648B9"/>
    <w:rsid w:val="00881AF9"/>
    <w:rsid w:val="00897460"/>
    <w:rsid w:val="008D060A"/>
    <w:rsid w:val="008D51B7"/>
    <w:rsid w:val="00901223"/>
    <w:rsid w:val="00911691"/>
    <w:rsid w:val="0093510E"/>
    <w:rsid w:val="009574E3"/>
    <w:rsid w:val="00961463"/>
    <w:rsid w:val="00977402"/>
    <w:rsid w:val="00987F4A"/>
    <w:rsid w:val="009C05D3"/>
    <w:rsid w:val="009D18A6"/>
    <w:rsid w:val="009E4360"/>
    <w:rsid w:val="00A11975"/>
    <w:rsid w:val="00A301C1"/>
    <w:rsid w:val="00A30493"/>
    <w:rsid w:val="00A3086D"/>
    <w:rsid w:val="00A938A8"/>
    <w:rsid w:val="00A97275"/>
    <w:rsid w:val="00AC0256"/>
    <w:rsid w:val="00AC52BD"/>
    <w:rsid w:val="00B21E7A"/>
    <w:rsid w:val="00B24D5B"/>
    <w:rsid w:val="00B33BF8"/>
    <w:rsid w:val="00B649D3"/>
    <w:rsid w:val="00BB2E44"/>
    <w:rsid w:val="00BB4A1E"/>
    <w:rsid w:val="00BB6535"/>
    <w:rsid w:val="00BF39AA"/>
    <w:rsid w:val="00C06163"/>
    <w:rsid w:val="00C12847"/>
    <w:rsid w:val="00C16F23"/>
    <w:rsid w:val="00C65A1F"/>
    <w:rsid w:val="00CC2611"/>
    <w:rsid w:val="00CE1F31"/>
    <w:rsid w:val="00CE4688"/>
    <w:rsid w:val="00D24599"/>
    <w:rsid w:val="00D266E8"/>
    <w:rsid w:val="00D42E37"/>
    <w:rsid w:val="00D519C4"/>
    <w:rsid w:val="00D8675F"/>
    <w:rsid w:val="00DE4816"/>
    <w:rsid w:val="00E77F03"/>
    <w:rsid w:val="00EB79A7"/>
    <w:rsid w:val="00EE0B62"/>
    <w:rsid w:val="00F04A73"/>
    <w:rsid w:val="00F33DA1"/>
    <w:rsid w:val="00F36948"/>
    <w:rsid w:val="00F46A6C"/>
    <w:rsid w:val="00FE2080"/>
    <w:rsid w:val="01F14B4B"/>
    <w:rsid w:val="02EE5079"/>
    <w:rsid w:val="098170F0"/>
    <w:rsid w:val="09A9366F"/>
    <w:rsid w:val="0A5A02C6"/>
    <w:rsid w:val="0B046671"/>
    <w:rsid w:val="0BC0248D"/>
    <w:rsid w:val="0C5950AB"/>
    <w:rsid w:val="0E785351"/>
    <w:rsid w:val="0EB40999"/>
    <w:rsid w:val="11D24FDD"/>
    <w:rsid w:val="11FB1CF0"/>
    <w:rsid w:val="128B6FBF"/>
    <w:rsid w:val="131B624C"/>
    <w:rsid w:val="14E3498B"/>
    <w:rsid w:val="158B0969"/>
    <w:rsid w:val="15A6446C"/>
    <w:rsid w:val="15C17BE8"/>
    <w:rsid w:val="171A54DB"/>
    <w:rsid w:val="173E6FA0"/>
    <w:rsid w:val="197F445F"/>
    <w:rsid w:val="1CD771A7"/>
    <w:rsid w:val="1CEC1461"/>
    <w:rsid w:val="1D10756B"/>
    <w:rsid w:val="1EA1638D"/>
    <w:rsid w:val="20292B50"/>
    <w:rsid w:val="210A02F7"/>
    <w:rsid w:val="26A570E0"/>
    <w:rsid w:val="28527E62"/>
    <w:rsid w:val="29CD4B4A"/>
    <w:rsid w:val="2CD476E2"/>
    <w:rsid w:val="2D2A1099"/>
    <w:rsid w:val="2E7C5FD0"/>
    <w:rsid w:val="2E9D3BE3"/>
    <w:rsid w:val="2F6D5486"/>
    <w:rsid w:val="2F891712"/>
    <w:rsid w:val="309B54D7"/>
    <w:rsid w:val="35C62577"/>
    <w:rsid w:val="36982ACA"/>
    <w:rsid w:val="369D25E5"/>
    <w:rsid w:val="39620D02"/>
    <w:rsid w:val="3A806968"/>
    <w:rsid w:val="3EDBE3D3"/>
    <w:rsid w:val="3FA73820"/>
    <w:rsid w:val="42740B9B"/>
    <w:rsid w:val="428C28F5"/>
    <w:rsid w:val="44184F12"/>
    <w:rsid w:val="44C869C3"/>
    <w:rsid w:val="479861E1"/>
    <w:rsid w:val="488674F6"/>
    <w:rsid w:val="488C7A9D"/>
    <w:rsid w:val="4A5048BE"/>
    <w:rsid w:val="4B1327F4"/>
    <w:rsid w:val="4BA114FE"/>
    <w:rsid w:val="4DA263CC"/>
    <w:rsid w:val="4DCF0A7A"/>
    <w:rsid w:val="4F056734"/>
    <w:rsid w:val="4FF634B2"/>
    <w:rsid w:val="50A6453A"/>
    <w:rsid w:val="50CD65D7"/>
    <w:rsid w:val="51445A8C"/>
    <w:rsid w:val="52956670"/>
    <w:rsid w:val="52987BE4"/>
    <w:rsid w:val="55F01CD9"/>
    <w:rsid w:val="570C2543"/>
    <w:rsid w:val="58E4715C"/>
    <w:rsid w:val="592D5B67"/>
    <w:rsid w:val="59A843DD"/>
    <w:rsid w:val="5B6810F0"/>
    <w:rsid w:val="5BCD78D1"/>
    <w:rsid w:val="60347BE3"/>
    <w:rsid w:val="61BD6EB6"/>
    <w:rsid w:val="61DE181C"/>
    <w:rsid w:val="67E875FC"/>
    <w:rsid w:val="69D5379A"/>
    <w:rsid w:val="6B411590"/>
    <w:rsid w:val="6E1C600F"/>
    <w:rsid w:val="70072981"/>
    <w:rsid w:val="70E44958"/>
    <w:rsid w:val="7174269B"/>
    <w:rsid w:val="71C100BC"/>
    <w:rsid w:val="73E35C06"/>
    <w:rsid w:val="73F508C9"/>
    <w:rsid w:val="743221C1"/>
    <w:rsid w:val="760A1A91"/>
    <w:rsid w:val="76E93244"/>
    <w:rsid w:val="773901FC"/>
    <w:rsid w:val="773F0D19"/>
    <w:rsid w:val="778058A2"/>
    <w:rsid w:val="78B175F4"/>
    <w:rsid w:val="7A116045"/>
    <w:rsid w:val="7D8214DF"/>
    <w:rsid w:val="7D87052E"/>
    <w:rsid w:val="7F890820"/>
    <w:rsid w:val="7F8E0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Char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line="480" w:lineRule="auto"/>
      <w:jc w:val="left"/>
    </w:pPr>
    <w:rPr>
      <w:rFonts w:ascii="宋体" w:hAnsi="宋体" w:hint="eastAsia"/>
      <w:kern w:val="0"/>
      <w:sz w:val="18"/>
      <w:szCs w:val="18"/>
    </w:rPr>
  </w:style>
  <w:style w:type="character" w:styleId="aa">
    <w:name w:val="Strong"/>
    <w:basedOn w:val="a0"/>
    <w:uiPriority w:val="22"/>
    <w:qFormat/>
  </w:style>
  <w:style w:type="character" w:styleId="ab">
    <w:name w:val="FollowedHyperlink"/>
    <w:basedOn w:val="a0"/>
    <w:uiPriority w:val="99"/>
    <w:unhideWhenUsed/>
    <w:qFormat/>
    <w:rPr>
      <w:color w:val="0F0F0F"/>
      <w:u w:val="none"/>
    </w:rPr>
  </w:style>
  <w:style w:type="character" w:styleId="ac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d">
    <w:name w:val="Hyperlink"/>
    <w:basedOn w:val="a0"/>
    <w:uiPriority w:val="99"/>
    <w:unhideWhenUsed/>
    <w:qFormat/>
    <w:rPr>
      <w:color w:val="0F0F0F"/>
      <w:u w:val="none"/>
    </w:rPr>
  </w:style>
  <w:style w:type="character" w:styleId="HTML1">
    <w:name w:val="HTML Code"/>
    <w:basedOn w:val="a0"/>
    <w:uiPriority w:val="99"/>
    <w:unhideWhenUsed/>
    <w:qFormat/>
    <w:rPr>
      <w:rFonts w:ascii="Courier New" w:hAnsi="Courier New"/>
      <w:sz w:val="20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af">
    <w:name w:val="footnote reference"/>
    <w:basedOn w:val="a0"/>
    <w:uiPriority w:val="99"/>
    <w:unhideWhenUsed/>
    <w:qFormat/>
    <w:rPr>
      <w:vertAlign w:val="superscript"/>
    </w:rPr>
  </w:style>
  <w:style w:type="table" w:styleId="af0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one">
    <w:name w:val="one"/>
    <w:basedOn w:val="a0"/>
    <w:qFormat/>
    <w:rPr>
      <w:color w:val="003366"/>
    </w:rPr>
  </w:style>
  <w:style w:type="character" w:customStyle="1" w:styleId="lb-right">
    <w:name w:val="lb-right"/>
    <w:basedOn w:val="a0"/>
    <w:qFormat/>
  </w:style>
  <w:style w:type="character" w:customStyle="1" w:styleId="before3">
    <w:name w:val="before3"/>
    <w:basedOn w:val="a0"/>
    <w:qFormat/>
  </w:style>
  <w:style w:type="character" w:customStyle="1" w:styleId="origin">
    <w:name w:val="origin"/>
    <w:basedOn w:val="a0"/>
    <w:qFormat/>
  </w:style>
  <w:style w:type="character" w:customStyle="1" w:styleId="search-kw2">
    <w:name w:val="search-kw2"/>
    <w:basedOn w:val="a0"/>
    <w:qFormat/>
  </w:style>
  <w:style w:type="character" w:customStyle="1" w:styleId="tj">
    <w:name w:val="tj"/>
    <w:basedOn w:val="a0"/>
    <w:qFormat/>
    <w:rPr>
      <w:color w:val="FFFFFF"/>
      <w:sz w:val="21"/>
      <w:szCs w:val="21"/>
      <w:shd w:val="clear" w:color="auto" w:fill="348CEC"/>
    </w:rPr>
  </w:style>
  <w:style w:type="character" w:customStyle="1" w:styleId="lb-left">
    <w:name w:val="lb-left"/>
    <w:basedOn w:val="a0"/>
    <w:qFormat/>
  </w:style>
  <w:style w:type="character" w:customStyle="1" w:styleId="Char4">
    <w:name w:val="脚注文本 Char"/>
    <w:basedOn w:val="a0"/>
    <w:link w:val="a8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rPr>
      <w:kern w:val="2"/>
      <w:sz w:val="21"/>
      <w:szCs w:val="21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kern w:val="2"/>
      <w:sz w:val="21"/>
      <w:szCs w:val="21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note text"/>
    <w:basedOn w:val="a"/>
    <w:link w:val="Char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spacing w:line="480" w:lineRule="auto"/>
      <w:jc w:val="left"/>
    </w:pPr>
    <w:rPr>
      <w:rFonts w:ascii="宋体" w:hAnsi="宋体" w:hint="eastAsia"/>
      <w:kern w:val="0"/>
      <w:sz w:val="18"/>
      <w:szCs w:val="18"/>
    </w:rPr>
  </w:style>
  <w:style w:type="character" w:styleId="aa">
    <w:name w:val="Strong"/>
    <w:basedOn w:val="a0"/>
    <w:uiPriority w:val="22"/>
    <w:qFormat/>
  </w:style>
  <w:style w:type="character" w:styleId="ab">
    <w:name w:val="FollowedHyperlink"/>
    <w:basedOn w:val="a0"/>
    <w:uiPriority w:val="99"/>
    <w:unhideWhenUsed/>
    <w:qFormat/>
    <w:rPr>
      <w:color w:val="0F0F0F"/>
      <w:u w:val="none"/>
    </w:rPr>
  </w:style>
  <w:style w:type="character" w:styleId="ac">
    <w:name w:val="Emphasis"/>
    <w:basedOn w:val="a0"/>
    <w:uiPriority w:val="20"/>
    <w:qFormat/>
  </w:style>
  <w:style w:type="character" w:styleId="HTML">
    <w:name w:val="HTML Definition"/>
    <w:basedOn w:val="a0"/>
    <w:uiPriority w:val="99"/>
    <w:unhideWhenUsed/>
    <w:qFormat/>
  </w:style>
  <w:style w:type="character" w:styleId="HTML0">
    <w:name w:val="HTML Variable"/>
    <w:basedOn w:val="a0"/>
    <w:uiPriority w:val="99"/>
    <w:unhideWhenUsed/>
    <w:qFormat/>
  </w:style>
  <w:style w:type="character" w:styleId="ad">
    <w:name w:val="Hyperlink"/>
    <w:basedOn w:val="a0"/>
    <w:uiPriority w:val="99"/>
    <w:unhideWhenUsed/>
    <w:qFormat/>
    <w:rPr>
      <w:color w:val="0F0F0F"/>
      <w:u w:val="none"/>
    </w:rPr>
  </w:style>
  <w:style w:type="character" w:styleId="HTML1">
    <w:name w:val="HTML Code"/>
    <w:basedOn w:val="a0"/>
    <w:uiPriority w:val="99"/>
    <w:unhideWhenUsed/>
    <w:qFormat/>
    <w:rPr>
      <w:rFonts w:ascii="Courier New" w:hAnsi="Courier New"/>
      <w:sz w:val="20"/>
    </w:rPr>
  </w:style>
  <w:style w:type="character" w:styleId="ae">
    <w:name w:val="annotation reference"/>
    <w:basedOn w:val="a0"/>
    <w:uiPriority w:val="99"/>
    <w:unhideWhenUsed/>
    <w:qFormat/>
    <w:rPr>
      <w:sz w:val="21"/>
      <w:szCs w:val="21"/>
    </w:rPr>
  </w:style>
  <w:style w:type="character" w:styleId="HTML2">
    <w:name w:val="HTML Cite"/>
    <w:basedOn w:val="a0"/>
    <w:uiPriority w:val="99"/>
    <w:unhideWhenUsed/>
    <w:qFormat/>
  </w:style>
  <w:style w:type="character" w:styleId="af">
    <w:name w:val="footnote reference"/>
    <w:basedOn w:val="a0"/>
    <w:uiPriority w:val="99"/>
    <w:unhideWhenUsed/>
    <w:qFormat/>
    <w:rPr>
      <w:vertAlign w:val="superscript"/>
    </w:rPr>
  </w:style>
  <w:style w:type="table" w:styleId="af0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one">
    <w:name w:val="one"/>
    <w:basedOn w:val="a0"/>
    <w:qFormat/>
    <w:rPr>
      <w:color w:val="003366"/>
    </w:rPr>
  </w:style>
  <w:style w:type="character" w:customStyle="1" w:styleId="lb-right">
    <w:name w:val="lb-right"/>
    <w:basedOn w:val="a0"/>
    <w:qFormat/>
  </w:style>
  <w:style w:type="character" w:customStyle="1" w:styleId="before3">
    <w:name w:val="before3"/>
    <w:basedOn w:val="a0"/>
    <w:qFormat/>
  </w:style>
  <w:style w:type="character" w:customStyle="1" w:styleId="origin">
    <w:name w:val="origin"/>
    <w:basedOn w:val="a0"/>
    <w:qFormat/>
  </w:style>
  <w:style w:type="character" w:customStyle="1" w:styleId="search-kw2">
    <w:name w:val="search-kw2"/>
    <w:basedOn w:val="a0"/>
    <w:qFormat/>
  </w:style>
  <w:style w:type="character" w:customStyle="1" w:styleId="tj">
    <w:name w:val="tj"/>
    <w:basedOn w:val="a0"/>
    <w:qFormat/>
    <w:rPr>
      <w:color w:val="FFFFFF"/>
      <w:sz w:val="21"/>
      <w:szCs w:val="21"/>
      <w:shd w:val="clear" w:color="auto" w:fill="348CEC"/>
    </w:rPr>
  </w:style>
  <w:style w:type="character" w:customStyle="1" w:styleId="lb-left">
    <w:name w:val="lb-left"/>
    <w:basedOn w:val="a0"/>
    <w:qFormat/>
  </w:style>
  <w:style w:type="character" w:customStyle="1" w:styleId="Char4">
    <w:name w:val="脚注文本 Char"/>
    <w:basedOn w:val="a0"/>
    <w:link w:val="a8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Char3">
    <w:name w:val="页眉 Char"/>
    <w:basedOn w:val="a0"/>
    <w:link w:val="a7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Calibri" w:hAnsi="Calibri"/>
      <w:kern w:val="2"/>
      <w:sz w:val="18"/>
      <w:szCs w:val="18"/>
    </w:rPr>
  </w:style>
  <w:style w:type="character" w:customStyle="1" w:styleId="Char0">
    <w:name w:val="批注文字 Char"/>
    <w:basedOn w:val="a0"/>
    <w:link w:val="a4"/>
    <w:uiPriority w:val="99"/>
    <w:rPr>
      <w:kern w:val="2"/>
      <w:sz w:val="21"/>
      <w:szCs w:val="21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kern w:val="2"/>
      <w:sz w:val="21"/>
      <w:szCs w:val="21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>MS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2</cp:revision>
  <cp:lastPrinted>2022-02-17T13:30:00Z</cp:lastPrinted>
  <dcterms:created xsi:type="dcterms:W3CDTF">2022-02-21T05:39:00Z</dcterms:created>
  <dcterms:modified xsi:type="dcterms:W3CDTF">2022-02-21T05:39:00Z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