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2D85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/>
        <w:jc w:val="both"/>
        <w:textAlignment w:val="auto"/>
        <w:outlineLvl w:val="9"/>
        <w:rPr>
          <w:rFonts w:hint="eastAsia" w:ascii="黑体" w:hAnsi="黑体" w:eastAsia="黑体" w:cs="黑体"/>
          <w:snapToGrid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napToGrid w:val="0"/>
          <w:color w:val="auto"/>
          <w:sz w:val="32"/>
          <w:szCs w:val="32"/>
          <w:lang w:val="en-US" w:eastAsia="zh-CN"/>
        </w:rPr>
        <w:t>附件1</w:t>
      </w:r>
    </w:p>
    <w:p w14:paraId="5A81B0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auto"/>
          <w:sz w:val="44"/>
          <w:szCs w:val="44"/>
          <w:lang w:val="en-US" w:eastAsia="zh-CN"/>
        </w:rPr>
      </w:pPr>
    </w:p>
    <w:p w14:paraId="215D14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auto"/>
          <w:sz w:val="44"/>
          <w:szCs w:val="44"/>
          <w:lang w:val="en-US" w:eastAsia="zh-CN"/>
        </w:rPr>
        <w:t>“中国式现代化龙江实践”主题征文</w:t>
      </w:r>
    </w:p>
    <w:p w14:paraId="361BE4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/>
        <w:jc w:val="center"/>
        <w:textAlignment w:val="auto"/>
        <w:outlineLvl w:val="9"/>
        <w:rPr>
          <w:rFonts w:hint="eastAsia" w:ascii="仿宋" w:hAnsi="仿宋" w:eastAsia="仿宋" w:cs="仿宋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auto"/>
          <w:sz w:val="44"/>
          <w:szCs w:val="44"/>
          <w:lang w:val="en-US" w:eastAsia="zh-CN"/>
        </w:rPr>
        <w:t>选题指南</w:t>
      </w:r>
    </w:p>
    <w:p w14:paraId="6AC4DD63">
      <w:pPr>
        <w:pStyle w:val="2"/>
        <w:rPr>
          <w:rFonts w:hint="eastAsia"/>
          <w:lang w:val="en-US" w:eastAsia="zh-CN"/>
        </w:rPr>
      </w:pPr>
    </w:p>
    <w:p w14:paraId="775FF7C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napToGrid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napToGrid w:val="0"/>
          <w:color w:val="auto"/>
          <w:sz w:val="32"/>
          <w:szCs w:val="32"/>
          <w:lang w:val="en-US" w:eastAsia="zh-CN"/>
        </w:rPr>
        <w:t>一、参考研究选题</w:t>
      </w:r>
    </w:p>
    <w:p w14:paraId="4791444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pacing w:val="0"/>
          <w:kern w:val="2"/>
          <w:position w:val="0"/>
          <w:sz w:val="32"/>
          <w:szCs w:val="32"/>
          <w:lang w:val="en-US" w:eastAsia="zh-CN" w:bidi="ar-SA"/>
        </w:rPr>
        <w:t>1.马克思主义中国化时代化历史进程和基本规律研究</w:t>
      </w:r>
    </w:p>
    <w:p w14:paraId="2278206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pacing w:val="0"/>
          <w:kern w:val="2"/>
          <w:position w:val="0"/>
          <w:sz w:val="32"/>
          <w:szCs w:val="32"/>
          <w:lang w:val="en-US" w:eastAsia="zh-CN" w:bidi="ar-SA"/>
        </w:rPr>
        <w:t>2.中国式现代化与构建哲学社会科学自主知识体系研究</w:t>
      </w:r>
    </w:p>
    <w:p w14:paraId="7ACC313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pacing w:val="0"/>
          <w:kern w:val="2"/>
          <w:position w:val="0"/>
          <w:sz w:val="32"/>
          <w:szCs w:val="32"/>
          <w:lang w:val="en-US" w:eastAsia="zh-CN" w:bidi="ar-SA"/>
        </w:rPr>
        <w:t>3.中国式现代化进程中的重大问题与实现路径研究</w:t>
      </w:r>
    </w:p>
    <w:p w14:paraId="48D1A13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pacing w:val="0"/>
          <w:kern w:val="2"/>
          <w:position w:val="0"/>
          <w:sz w:val="32"/>
          <w:szCs w:val="32"/>
          <w:lang w:val="en-US" w:eastAsia="zh-CN" w:bidi="ar-SA"/>
        </w:rPr>
        <w:t>4.“两个结合”的重大意义和丰富内涵研究</w:t>
      </w:r>
    </w:p>
    <w:p w14:paraId="3706C74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pacing w:val="0"/>
          <w:kern w:val="2"/>
          <w:position w:val="0"/>
          <w:sz w:val="32"/>
          <w:szCs w:val="32"/>
          <w:lang w:val="en-US" w:eastAsia="zh-CN" w:bidi="ar-SA"/>
        </w:rPr>
        <w:t>5.中华优秀传统文化创造性转化和创新性发展研究</w:t>
      </w:r>
    </w:p>
    <w:p w14:paraId="62C150A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pacing w:val="0"/>
          <w:kern w:val="2"/>
          <w:position w:val="0"/>
          <w:sz w:val="32"/>
          <w:szCs w:val="32"/>
          <w:lang w:val="en-US" w:eastAsia="zh-CN" w:bidi="ar-SA"/>
        </w:rPr>
        <w:t>6.铸牢中华民族共同体意识研究</w:t>
      </w:r>
    </w:p>
    <w:p w14:paraId="7BB42AE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pacing w:val="0"/>
          <w:kern w:val="2"/>
          <w:position w:val="0"/>
          <w:sz w:val="32"/>
          <w:szCs w:val="32"/>
          <w:lang w:val="en-US" w:eastAsia="zh-CN" w:bidi="ar-SA"/>
        </w:rPr>
        <w:t>7.中国式现代化进程中的文化遗产保护传承研究</w:t>
      </w:r>
    </w:p>
    <w:p w14:paraId="1023C40C">
      <w:pPr>
        <w:pStyle w:val="2"/>
        <w:rPr>
          <w:rFonts w:hint="eastAsia" w:ascii="仿宋" w:hAnsi="仿宋" w:eastAsia="仿宋" w:cs="仿宋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pacing w:val="0"/>
          <w:kern w:val="2"/>
          <w:position w:val="0"/>
          <w:sz w:val="32"/>
          <w:szCs w:val="32"/>
          <w:lang w:val="en-US" w:eastAsia="zh-CN" w:bidi="ar-SA"/>
        </w:rPr>
        <w:t>8.坚定文化自信，深化文明交流互鉴研究</w:t>
      </w:r>
    </w:p>
    <w:p w14:paraId="6E149A9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pacing w:val="0"/>
          <w:kern w:val="2"/>
          <w:position w:val="0"/>
          <w:sz w:val="32"/>
          <w:szCs w:val="32"/>
          <w:lang w:val="en-US" w:eastAsia="zh-CN" w:bidi="ar-SA"/>
        </w:rPr>
        <w:t>9.东北文艺复兴与黑龙江地域文学研究</w:t>
      </w:r>
    </w:p>
    <w:p w14:paraId="46DB22E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pacing w:val="0"/>
          <w:kern w:val="2"/>
          <w:position w:val="0"/>
          <w:sz w:val="32"/>
          <w:szCs w:val="32"/>
          <w:lang w:val="en-US" w:eastAsia="zh-CN" w:bidi="ar-SA"/>
        </w:rPr>
        <w:t>10.龙江特色文化、龙江优秀精神研究</w:t>
      </w:r>
    </w:p>
    <w:p w14:paraId="5D3B5852">
      <w:pPr>
        <w:pStyle w:val="2"/>
        <w:rPr>
          <w:rFonts w:hint="default" w:ascii="仿宋" w:hAnsi="仿宋" w:eastAsia="仿宋" w:cs="仿宋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pacing w:val="0"/>
          <w:kern w:val="2"/>
          <w:position w:val="0"/>
          <w:sz w:val="32"/>
          <w:szCs w:val="32"/>
          <w:lang w:val="en-US" w:eastAsia="zh-CN" w:bidi="ar-SA"/>
        </w:rPr>
        <w:t>11.坚决维护国家“五大安全”、建好建强“三基地一屏障一高地”、建设“六个龙江”、推进“八个振兴”目标任务</w:t>
      </w:r>
    </w:p>
    <w:p w14:paraId="014303A3">
      <w:pPr>
        <w:pStyle w:val="2"/>
        <w:rPr>
          <w:rFonts w:hint="eastAsia" w:ascii="仿宋" w:hAnsi="仿宋" w:eastAsia="仿宋" w:cs="仿宋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pacing w:val="0"/>
          <w:kern w:val="2"/>
          <w:position w:val="0"/>
          <w:sz w:val="32"/>
          <w:szCs w:val="32"/>
          <w:lang w:val="en-US" w:eastAsia="zh-CN" w:bidi="ar-SA"/>
        </w:rPr>
        <w:t>12.全面深化改革，扩大高水平对外开放研究</w:t>
      </w:r>
    </w:p>
    <w:p w14:paraId="1AE60BA1">
      <w:pPr>
        <w:pStyle w:val="2"/>
        <w:rPr>
          <w:rFonts w:hint="eastAsia" w:ascii="仿宋" w:hAnsi="仿宋" w:eastAsia="仿宋" w:cs="仿宋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pacing w:val="0"/>
          <w:kern w:val="2"/>
          <w:position w:val="0"/>
          <w:sz w:val="32"/>
          <w:szCs w:val="32"/>
          <w:lang w:val="en-US" w:eastAsia="zh-CN" w:bidi="ar-SA"/>
        </w:rPr>
        <w:t>13.科技创新和产业创新融合发展研究</w:t>
      </w:r>
    </w:p>
    <w:p w14:paraId="28963D20">
      <w:pPr>
        <w:pStyle w:val="2"/>
        <w:rPr>
          <w:rFonts w:hint="default" w:ascii="仿宋" w:hAnsi="仿宋" w:eastAsia="仿宋" w:cs="仿宋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pacing w:val="0"/>
          <w:kern w:val="2"/>
          <w:position w:val="0"/>
          <w:sz w:val="32"/>
          <w:szCs w:val="32"/>
          <w:lang w:val="en-US" w:eastAsia="zh-CN" w:bidi="ar-SA"/>
        </w:rPr>
        <w:t>14.构建具有黑龙江特色优势的现代化产业体系研究</w:t>
      </w:r>
    </w:p>
    <w:p w14:paraId="5A64D87B">
      <w:pPr>
        <w:pStyle w:val="2"/>
        <w:rPr>
          <w:rFonts w:hint="default" w:ascii="仿宋" w:hAnsi="仿宋" w:eastAsia="仿宋" w:cs="仿宋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pacing w:val="0"/>
          <w:kern w:val="2"/>
          <w:position w:val="0"/>
          <w:sz w:val="32"/>
          <w:szCs w:val="32"/>
          <w:lang w:val="en-US" w:eastAsia="zh-CN" w:bidi="ar-SA"/>
        </w:rPr>
        <w:t xml:space="preserve">15.统筹扩大内需和深化供给侧结构性改革研究   </w:t>
      </w:r>
    </w:p>
    <w:p w14:paraId="144EDAC3">
      <w:pPr>
        <w:pStyle w:val="2"/>
        <w:rPr>
          <w:rFonts w:hint="eastAsia" w:ascii="仿宋" w:hAnsi="仿宋" w:eastAsia="仿宋" w:cs="仿宋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pacing w:val="0"/>
          <w:kern w:val="2"/>
          <w:position w:val="0"/>
          <w:sz w:val="32"/>
          <w:szCs w:val="32"/>
          <w:lang w:val="en-US" w:eastAsia="zh-CN" w:bidi="ar-SA"/>
        </w:rPr>
        <w:t>16.新质生产力赋能龙江高质量发展的实践研究</w:t>
      </w:r>
    </w:p>
    <w:p w14:paraId="456243FE">
      <w:pPr>
        <w:pStyle w:val="2"/>
        <w:rPr>
          <w:rFonts w:hint="eastAsia" w:ascii="仿宋" w:hAnsi="仿宋" w:eastAsia="仿宋" w:cs="仿宋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pacing w:val="0"/>
          <w:kern w:val="2"/>
          <w:position w:val="0"/>
          <w:sz w:val="32"/>
          <w:szCs w:val="32"/>
          <w:lang w:val="en-US" w:eastAsia="zh-CN" w:bidi="ar-SA"/>
        </w:rPr>
        <w:t>17.加快建设现代化大农业的实践路径研究</w:t>
      </w:r>
    </w:p>
    <w:p w14:paraId="28E632C8">
      <w:pPr>
        <w:pStyle w:val="2"/>
        <w:rPr>
          <w:rFonts w:hint="eastAsia" w:ascii="仿宋" w:hAnsi="仿宋" w:eastAsia="仿宋" w:cs="仿宋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pacing w:val="0"/>
          <w:kern w:val="2"/>
          <w:position w:val="0"/>
          <w:sz w:val="32"/>
          <w:szCs w:val="32"/>
          <w:lang w:val="en-US" w:eastAsia="zh-CN" w:bidi="ar-SA"/>
        </w:rPr>
        <w:t>18.加快推进黑龙江乡村全面振兴和城乡融合发展研究</w:t>
      </w:r>
    </w:p>
    <w:p w14:paraId="1D7C818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pacing w:val="0"/>
          <w:kern w:val="2"/>
          <w:position w:val="0"/>
          <w:sz w:val="32"/>
          <w:szCs w:val="32"/>
          <w:lang w:val="en-US" w:eastAsia="zh-CN" w:bidi="ar-SA"/>
        </w:rPr>
        <w:t>19.黑龙江民营经济高质量发展创新路径研究</w:t>
      </w:r>
    </w:p>
    <w:p w14:paraId="42C078A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pacing w:val="0"/>
          <w:kern w:val="2"/>
          <w:position w:val="0"/>
          <w:sz w:val="32"/>
          <w:szCs w:val="32"/>
          <w:lang w:val="en-US" w:eastAsia="zh-CN" w:bidi="ar-SA"/>
        </w:rPr>
        <w:t>20.黑龙江冰雪经济高质量发展创新路径研究</w:t>
      </w:r>
    </w:p>
    <w:p w14:paraId="13DFE98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pacing w:val="0"/>
          <w:kern w:val="2"/>
          <w:position w:val="0"/>
          <w:sz w:val="32"/>
          <w:szCs w:val="32"/>
          <w:lang w:val="en-US" w:eastAsia="zh-CN" w:bidi="ar-SA"/>
        </w:rPr>
        <w:t xml:space="preserve">21.黑龙江促进银发经济发展的实践研究  </w:t>
      </w:r>
    </w:p>
    <w:p w14:paraId="74A6C2A9">
      <w:pPr>
        <w:pStyle w:val="2"/>
        <w:rPr>
          <w:rFonts w:hint="eastAsia" w:ascii="仿宋" w:hAnsi="仿宋" w:eastAsia="仿宋"/>
          <w:snapToGrid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napToGrid w:val="0"/>
          <w:color w:val="auto"/>
          <w:sz w:val="32"/>
          <w:szCs w:val="32"/>
          <w:lang w:val="en-US" w:eastAsia="zh-CN"/>
        </w:rPr>
        <w:t>22.黑龙江社会治理现代化的经验与对策研究</w:t>
      </w:r>
    </w:p>
    <w:p w14:paraId="24B4D0E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/>
          <w:snapToGrid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napToGrid w:val="0"/>
          <w:color w:val="auto"/>
          <w:sz w:val="32"/>
          <w:szCs w:val="32"/>
          <w:lang w:val="en-US" w:eastAsia="zh-CN"/>
        </w:rPr>
        <w:t>23.新时代黑龙江省社会组织高质量发展研究</w:t>
      </w:r>
    </w:p>
    <w:p w14:paraId="3EC9374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pacing w:val="0"/>
          <w:kern w:val="2"/>
          <w:position w:val="0"/>
          <w:sz w:val="32"/>
          <w:szCs w:val="32"/>
          <w:lang w:val="en-US" w:eastAsia="zh-CN" w:bidi="ar-SA"/>
        </w:rPr>
        <w:t>24.新兴领域（新经济组织、新社会组织、新就业群体）党建高质量发展路径研究</w:t>
      </w:r>
    </w:p>
    <w:p w14:paraId="5B4249B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pacing w:val="0"/>
          <w:kern w:val="2"/>
          <w:position w:val="0"/>
          <w:sz w:val="32"/>
          <w:szCs w:val="32"/>
          <w:lang w:val="en-US" w:eastAsia="zh-CN" w:bidi="ar-SA"/>
        </w:rPr>
        <w:t xml:space="preserve">25.“两山”理论的龙江实践研究 </w:t>
      </w:r>
    </w:p>
    <w:p w14:paraId="1C99D6E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pacing w:val="0"/>
          <w:kern w:val="2"/>
          <w:position w:val="0"/>
          <w:sz w:val="32"/>
          <w:szCs w:val="32"/>
          <w:lang w:val="en-US" w:eastAsia="zh-CN" w:bidi="ar-SA"/>
        </w:rPr>
        <w:t>26.绿色</w:t>
      </w:r>
      <w:r>
        <w:rPr>
          <w:rFonts w:hint="default" w:ascii="仿宋" w:hAnsi="仿宋" w:eastAsia="仿宋" w:cs="仿宋"/>
          <w:spacing w:val="0"/>
          <w:kern w:val="2"/>
          <w:position w:val="0"/>
          <w:sz w:val="32"/>
          <w:szCs w:val="32"/>
          <w:lang w:val="en-US" w:eastAsia="zh-CN" w:bidi="ar-SA"/>
        </w:rPr>
        <w:t>发展和低碳转型</w:t>
      </w:r>
      <w:r>
        <w:rPr>
          <w:rFonts w:hint="eastAsia" w:ascii="仿宋" w:hAnsi="仿宋" w:eastAsia="仿宋" w:cs="仿宋"/>
          <w:spacing w:val="0"/>
          <w:kern w:val="2"/>
          <w:position w:val="0"/>
          <w:sz w:val="32"/>
          <w:szCs w:val="32"/>
          <w:lang w:val="en-US" w:eastAsia="zh-CN" w:bidi="ar-SA"/>
        </w:rPr>
        <w:t>探索与实践研究</w:t>
      </w:r>
    </w:p>
    <w:p w14:paraId="4E23BC6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pacing w:val="0"/>
          <w:kern w:val="2"/>
          <w:position w:val="0"/>
          <w:sz w:val="32"/>
          <w:szCs w:val="32"/>
          <w:lang w:val="en-US" w:eastAsia="zh-CN" w:bidi="ar-SA"/>
        </w:rPr>
        <w:t>27.深化教育科技人才体制机制一体改革研究</w:t>
      </w:r>
    </w:p>
    <w:p w14:paraId="19970DC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pacing w:val="0"/>
          <w:kern w:val="2"/>
          <w:position w:val="0"/>
          <w:sz w:val="32"/>
          <w:szCs w:val="32"/>
          <w:lang w:val="en-US" w:eastAsia="zh-CN" w:bidi="ar-SA"/>
        </w:rPr>
        <w:t xml:space="preserve">28.黑龙江特色文旅融合的创新实践研究 </w:t>
      </w:r>
    </w:p>
    <w:p w14:paraId="410C1FB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/>
          <w:snapToGrid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napToGrid w:val="0"/>
          <w:color w:val="auto"/>
          <w:sz w:val="32"/>
          <w:szCs w:val="32"/>
          <w:lang w:val="en-US" w:eastAsia="zh-CN"/>
        </w:rPr>
        <w:t>29.人工智能助力推进中国式现代化发展进程的探索与实践研究</w:t>
      </w:r>
    </w:p>
    <w:p w14:paraId="07963E2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napToGrid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napToGrid w:val="0"/>
          <w:color w:val="auto"/>
          <w:sz w:val="32"/>
          <w:szCs w:val="32"/>
          <w:lang w:val="en-US" w:eastAsia="zh-CN"/>
        </w:rPr>
        <w:t>二、委托研究选题</w:t>
      </w:r>
    </w:p>
    <w:p w14:paraId="34A752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/>
          <w:snapToGrid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napToGrid w:val="0"/>
          <w:color w:val="auto"/>
          <w:sz w:val="32"/>
          <w:szCs w:val="32"/>
          <w:lang w:val="en-US" w:eastAsia="zh-CN"/>
        </w:rPr>
        <w:t>1.黑龙江制定“十五五”规划应关注的若干问题研究</w:t>
      </w:r>
    </w:p>
    <w:p w14:paraId="262E58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/>
          <w:snapToGrid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napToGrid w:val="0"/>
          <w:color w:val="auto"/>
          <w:sz w:val="32"/>
          <w:szCs w:val="32"/>
          <w:lang w:val="en-US" w:eastAsia="zh-CN"/>
        </w:rPr>
        <w:t>2.加快环大学大院大所创新创业生态圈建设，推动创新成果产业化研究</w:t>
      </w:r>
    </w:p>
    <w:p w14:paraId="3C0E73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/>
          <w:snapToGrid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napToGrid w:val="0"/>
          <w:color w:val="auto"/>
          <w:sz w:val="32"/>
          <w:szCs w:val="32"/>
          <w:lang w:val="en-US" w:eastAsia="zh-CN"/>
        </w:rPr>
        <w:t>3.提升对俄贸易便利度，推进“双买双卖”扩量升级研究</w:t>
      </w:r>
    </w:p>
    <w:p w14:paraId="2B5C61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/>
          <w:snapToGrid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napToGrid w:val="0"/>
          <w:color w:val="auto"/>
          <w:sz w:val="32"/>
          <w:szCs w:val="32"/>
          <w:lang w:val="en-US" w:eastAsia="zh-CN"/>
        </w:rPr>
        <w:t>4.推动落实《黑龙江省金融服务实体经济若干措施》现状及对策研究</w:t>
      </w:r>
    </w:p>
    <w:p w14:paraId="339B88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/>
          <w:snapToGrid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napToGrid w:val="0"/>
          <w:color w:val="auto"/>
          <w:sz w:val="32"/>
          <w:szCs w:val="32"/>
          <w:lang w:val="en-US" w:eastAsia="zh-CN"/>
        </w:rPr>
        <w:t>5.提高招商引资精准度和实效性，加快产业项目落地建设和竣工达产研究</w:t>
      </w:r>
    </w:p>
    <w:p w14:paraId="457960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/>
          <w:snapToGrid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napToGrid w:val="0"/>
          <w:color w:val="auto"/>
          <w:sz w:val="32"/>
          <w:szCs w:val="32"/>
          <w:lang w:val="en-US" w:eastAsia="zh-CN"/>
        </w:rPr>
        <w:t>6.发展数字文化产业赋能文化强省建设研究</w:t>
      </w:r>
    </w:p>
    <w:p w14:paraId="48416F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/>
          <w:snapToGrid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napToGrid w:val="0"/>
          <w:color w:val="auto"/>
          <w:sz w:val="32"/>
          <w:szCs w:val="32"/>
          <w:lang w:val="en-US" w:eastAsia="zh-CN"/>
        </w:rPr>
        <w:t>7.有力有序推动低空经济发展研究</w:t>
      </w:r>
    </w:p>
    <w:p w14:paraId="23F3FA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/>
          <w:snapToGrid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napToGrid w:val="0"/>
          <w:color w:val="auto"/>
          <w:sz w:val="32"/>
          <w:szCs w:val="32"/>
          <w:lang w:val="en-US" w:eastAsia="zh-CN"/>
        </w:rPr>
        <w:t>8.全方位加强技能培训，服务现代化产业体系建设研究</w:t>
      </w:r>
    </w:p>
    <w:p w14:paraId="65BDD3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/>
          <w:snapToGrid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napToGrid w:val="0"/>
          <w:color w:val="auto"/>
          <w:sz w:val="32"/>
          <w:szCs w:val="32"/>
          <w:lang w:val="en-US" w:eastAsia="zh-CN"/>
        </w:rPr>
        <w:t>9.进一步做大做强县域经济研究</w:t>
      </w:r>
    </w:p>
    <w:p w14:paraId="586D38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/>
          <w:snapToGrid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napToGrid w:val="0"/>
          <w:color w:val="auto"/>
          <w:sz w:val="32"/>
          <w:szCs w:val="32"/>
          <w:lang w:val="en-US" w:eastAsia="zh-CN"/>
        </w:rPr>
        <w:t>10.推动落实《黑龙江省关于推进“百村精品”建设实施方案》对策研究</w:t>
      </w:r>
    </w:p>
    <w:p w14:paraId="403093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/>
          <w:snapToGrid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napToGrid w:val="0"/>
          <w:color w:val="auto"/>
          <w:sz w:val="32"/>
          <w:szCs w:val="32"/>
          <w:lang w:val="en-US" w:eastAsia="zh-CN"/>
        </w:rPr>
        <w:t>11.促进农业集体经济发展壮大研究</w:t>
      </w:r>
    </w:p>
    <w:p w14:paraId="786511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/>
          <w:snapToGrid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napToGrid w:val="0"/>
          <w:color w:val="auto"/>
          <w:sz w:val="32"/>
          <w:szCs w:val="32"/>
          <w:lang w:val="en-US" w:eastAsia="zh-CN"/>
        </w:rPr>
        <w:t>12.发挥寒地龙药资源优势，促进中药材产业高质量发展研究</w:t>
      </w:r>
    </w:p>
    <w:p w14:paraId="77E2EC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/>
          <w:snapToGrid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napToGrid w:val="0"/>
          <w:color w:val="auto"/>
          <w:sz w:val="32"/>
          <w:szCs w:val="32"/>
          <w:lang w:val="en-US" w:eastAsia="zh-CN"/>
        </w:rPr>
        <w:t>13.传承中华文脉“让龙江文物活起来”研究</w:t>
      </w:r>
    </w:p>
    <w:p w14:paraId="17681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/>
          <w:snapToGrid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napToGrid w:val="0"/>
          <w:color w:val="auto"/>
          <w:sz w:val="32"/>
          <w:szCs w:val="32"/>
          <w:lang w:val="en-US" w:eastAsia="zh-CN"/>
        </w:rPr>
        <w:t>14.推动落实《黑龙江省食品安全条例》现状及对策研究</w:t>
      </w:r>
    </w:p>
    <w:p w14:paraId="179A25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/>
          <w:snapToGrid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napToGrid w:val="0"/>
          <w:color w:val="auto"/>
          <w:sz w:val="32"/>
          <w:szCs w:val="32"/>
          <w:lang w:val="en-US" w:eastAsia="zh-CN"/>
        </w:rPr>
        <w:t>15.坚持和发展新时代“枫桥经验”，构建矛盾纠纷源头治理新格局研究</w:t>
      </w:r>
    </w:p>
    <w:p w14:paraId="274B38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/>
          <w:snapToGrid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napToGrid w:val="0"/>
          <w:color w:val="auto"/>
          <w:sz w:val="32"/>
          <w:szCs w:val="32"/>
          <w:lang w:val="en-US" w:eastAsia="zh-CN"/>
        </w:rPr>
        <w:t>16.政协协商民主建设的路径及方法研究</w:t>
      </w:r>
    </w:p>
    <w:p w14:paraId="6D2FD8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/>
          <w:snapToGrid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napToGrid w:val="0"/>
          <w:color w:val="auto"/>
          <w:sz w:val="32"/>
          <w:szCs w:val="32"/>
          <w:lang w:val="en-US" w:eastAsia="zh-CN"/>
        </w:rPr>
        <w:t>17.完善委员联系界别群众制度机制研究</w:t>
      </w:r>
    </w:p>
    <w:p w14:paraId="14D852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/>
          <w:snapToGrid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napToGrid w:val="0"/>
          <w:color w:val="auto"/>
          <w:sz w:val="32"/>
          <w:szCs w:val="32"/>
          <w:lang w:val="en-US" w:eastAsia="zh-CN"/>
        </w:rPr>
        <w:t>18.加强政协反映社情民意、联系群众、服务人民群众机制建设研究</w:t>
      </w:r>
    </w:p>
    <w:p w14:paraId="3612F2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/>
          <w:snapToGrid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napToGrid w:val="0"/>
          <w:color w:val="auto"/>
          <w:sz w:val="32"/>
          <w:szCs w:val="32"/>
          <w:lang w:val="en-US" w:eastAsia="zh-CN"/>
        </w:rPr>
        <w:t>19.政协协商民主监督机制研究</w:t>
      </w:r>
    </w:p>
    <w:p w14:paraId="166092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/>
          <w:snapToGrid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napToGrid w:val="0"/>
          <w:color w:val="auto"/>
          <w:sz w:val="32"/>
          <w:szCs w:val="32"/>
          <w:lang w:val="en-US" w:eastAsia="zh-CN"/>
        </w:rPr>
        <w:t>20.政协委员提案办理机制研究</w:t>
      </w:r>
    </w:p>
    <w:p w14:paraId="05B7FA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/>
          <w:snapToGrid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napToGrid w:val="0"/>
          <w:color w:val="auto"/>
          <w:sz w:val="32"/>
          <w:szCs w:val="32"/>
          <w:lang w:val="en-US" w:eastAsia="zh-CN"/>
        </w:rPr>
        <w:t>21.政协专门委员会发挥基础性作用的工作机制研究</w:t>
      </w:r>
    </w:p>
    <w:p w14:paraId="1753D4BD">
      <w:pPr>
        <w:pStyle w:val="2"/>
        <w:rPr>
          <w:rFonts w:hint="eastAsia"/>
          <w:lang w:val="en-US" w:eastAsia="zh-CN"/>
        </w:rPr>
      </w:pPr>
    </w:p>
    <w:p w14:paraId="13565BF3">
      <w:pPr>
        <w:pStyle w:val="2"/>
        <w:ind w:left="0" w:leftChars="0" w:firstLine="0" w:firstLineChars="0"/>
        <w:rPr>
          <w:rFonts w:hint="eastAsia" w:ascii="仿宋" w:hAnsi="仿宋" w:eastAsia="仿宋"/>
          <w:b w:val="0"/>
          <w:color w:val="000000"/>
          <w:w w:val="100"/>
          <w:sz w:val="30"/>
          <w:lang w:eastAsia="zh-CN"/>
        </w:rPr>
      </w:pPr>
    </w:p>
    <w:p w14:paraId="50B4A528">
      <w:bookmarkStart w:id="0" w:name="_GoBack"/>
      <w:bookmarkEnd w:id="0"/>
    </w:p>
    <w:sectPr>
      <w:footerReference r:id="rId5" w:type="default"/>
      <w:pgSz w:w="11906" w:h="16838"/>
      <w:pgMar w:top="1304" w:right="1474" w:bottom="1304" w:left="1474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0CEE93">
    <w:pPr>
      <w:framePr w:wrap="around" w:vAnchor="text" w:hAnchor="margin" w:xAlign="center" w:y="1"/>
      <w:tabs>
        <w:tab w:val="center" w:pos="4153"/>
        <w:tab w:val="right" w:pos="8306"/>
      </w:tabs>
      <w:wordWrap/>
      <w:autoSpaceDE/>
      <w:autoSpaceDN/>
      <w:snapToGrid w:val="0"/>
      <w:spacing w:before="0" w:after="0" w:line="240" w:lineRule="auto"/>
      <w:ind w:left="0" w:firstLine="0"/>
      <w:jc w:val="left"/>
      <w:textAlignment w:val="baseline"/>
      <w:rPr>
        <w:rFonts w:ascii="Times New Roman" w:hAnsi="Times New Roman" w:eastAsia="宋体"/>
        <w:b w:val="0"/>
        <w:w w:val="100"/>
        <w:sz w:val="18"/>
      </w:rPr>
    </w:pPr>
    <w:r>
      <w:rPr>
        <w:rFonts w:ascii="Times New Roman" w:hAnsi="Times New Roman" w:eastAsia="宋体"/>
        <w:b w:val="0"/>
        <w:w w:val="100"/>
        <w:sz w:val="18"/>
      </w:rPr>
      <w:fldChar w:fldCharType="begin"/>
    </w:r>
    <w:r>
      <w:rPr>
        <w:rFonts w:ascii="Times New Roman" w:hAnsi="Times New Roman" w:eastAsia="宋体"/>
        <w:b w:val="0"/>
        <w:w w:val="100"/>
        <w:sz w:val="18"/>
      </w:rPr>
      <w:instrText xml:space="preserve">PAGE</w:instrText>
    </w:r>
    <w:r>
      <w:rPr>
        <w:rFonts w:ascii="Times New Roman" w:hAnsi="Times New Roman" w:eastAsia="宋体"/>
        <w:b w:val="0"/>
        <w:w w:val="100"/>
        <w:sz w:val="18"/>
      </w:rPr>
      <w:fldChar w:fldCharType="separate"/>
    </w:r>
    <w:r>
      <w:rPr>
        <w:rFonts w:ascii="Times New Roman" w:hAnsi="Times New Roman" w:eastAsia="宋体"/>
        <w:b w:val="0"/>
        <w:w w:val="100"/>
        <w:sz w:val="18"/>
      </w:rPr>
      <w:t>2</w:t>
    </w:r>
    <w:r>
      <w:rPr>
        <w:rFonts w:ascii="Times New Roman" w:hAnsi="Times New Roman" w:eastAsia="宋体"/>
        <w:b w:val="0"/>
        <w:w w:val="100"/>
        <w:sz w:val="18"/>
      </w:rPr>
      <w:fldChar w:fldCharType="end"/>
    </w:r>
  </w:p>
  <w:p w14:paraId="669F54AF">
    <w:pPr>
      <w:tabs>
        <w:tab w:val="center" w:pos="4153"/>
        <w:tab w:val="right" w:pos="8306"/>
      </w:tabs>
      <w:wordWrap/>
      <w:autoSpaceDE/>
      <w:autoSpaceDN/>
      <w:snapToGrid w:val="0"/>
      <w:spacing w:before="0" w:after="0" w:line="240" w:lineRule="auto"/>
      <w:ind w:left="0" w:firstLine="0"/>
      <w:jc w:val="left"/>
      <w:rPr>
        <w:rFonts w:ascii="Times New Roman" w:hAnsi="Times New Roman" w:eastAsia="宋体"/>
        <w:b w:val="0"/>
        <w:w w:val="100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E530B0"/>
    <w:rsid w:val="64CF5978"/>
    <w:rsid w:val="7FE53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utoSpaceDE/>
      <w:autoSpaceDN/>
      <w:spacing w:before="0" w:after="0" w:line="240" w:lineRule="auto"/>
      <w:ind w:left="0" w:firstLine="0"/>
      <w:jc w:val="both"/>
    </w:pPr>
    <w:rPr>
      <w:rFonts w:ascii="Times New Roman" w:hAnsi="Times New Roman" w:eastAsia="宋体" w:cs="Times New Roman"/>
      <w:sz w:val="21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"/>
    <w:basedOn w:val="3"/>
    <w:qFormat/>
    <w:uiPriority w:val="0"/>
    <w:pPr>
      <w:spacing w:line="588" w:lineRule="exact"/>
      <w:ind w:firstLine="880" w:firstLineChars="200"/>
    </w:pPr>
  </w:style>
  <w:style w:type="paragraph" w:styleId="3">
    <w:name w:val="Body Text"/>
    <w:basedOn w:val="1"/>
    <w:next w:val="4"/>
    <w:qFormat/>
    <w:uiPriority w:val="0"/>
    <w:pPr>
      <w:spacing w:line="500" w:lineRule="exact"/>
    </w:pPr>
    <w:rPr>
      <w:rFonts w:eastAsia="仿宋_GB2312"/>
      <w:sz w:val="28"/>
      <w:szCs w:val="28"/>
    </w:rPr>
  </w:style>
  <w:style w:type="paragraph" w:customStyle="1" w:styleId="4">
    <w:name w:val="正文文本 21"/>
    <w:basedOn w:val="1"/>
    <w:qFormat/>
    <w:uiPriority w:val="0"/>
    <w:pPr>
      <w:spacing w:line="480" w:lineRule="auto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1116</Words>
  <Characters>1198</Characters>
  <Lines>0</Lines>
  <Paragraphs>0</Paragraphs>
  <TotalTime>0</TotalTime>
  <ScaleCrop>false</ScaleCrop>
  <LinksUpToDate>false</LinksUpToDate>
  <CharactersWithSpaces>1205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2025-04-16T08:11:00Z</dcterms:created>
  <dc:creator>王圣焦</dc:creator>
  <cp:lastModifiedBy>王圣焦</cp:lastModifiedBy>
  <dcterms:modified xsi:type="dcterms:W3CDTF">2025-04-16T08:28:50Z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0214A87E3CDB4433955D1D08B2288B9B_11</vt:lpwstr>
  </property>
  <property fmtid="{D5CDD505-2E9C-101B-9397-08002B2CF9AE}" pid="4" name="KSOTemplateDocerSaveRecord">
    <vt:lpwstr>eyJoZGlkIjoiYWQxYjJmZGU5YWRlNjIzODllYWExNGZiNmFjZDdjZGUiLCJ1c2VySWQiOiI1OTkyNTkxMTAifQ==</vt:lpwstr>
  </property>
</Properties>
</file>